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COPE/SZP</w:t>
      </w:r>
      <w:r w:rsidR="001646BB">
        <w:rPr>
          <w:rFonts w:ascii="Calibri" w:hAnsi="Calibri" w:cs="Arial"/>
          <w:b/>
          <w:sz w:val="22"/>
          <w:szCs w:val="22"/>
        </w:rPr>
        <w:t>/34/</w:t>
      </w:r>
      <w:r w:rsidR="00257973" w:rsidRPr="00276D69">
        <w:rPr>
          <w:rFonts w:ascii="Calibri" w:hAnsi="Calibri" w:cs="Arial"/>
          <w:b/>
          <w:sz w:val="22"/>
          <w:szCs w:val="22"/>
        </w:rPr>
        <w:t>2016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(02-517), ul. Rakowiecka 2A,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COPE/SZP</w:t>
      </w:r>
      <w:r w:rsidR="00C81066">
        <w:rPr>
          <w:rFonts w:ascii="Calibri" w:hAnsi="Calibri" w:cs="Arial"/>
          <w:sz w:val="22"/>
          <w:szCs w:val="22"/>
        </w:rPr>
        <w:t>/34/</w:t>
      </w:r>
      <w:bookmarkStart w:id="0" w:name="_GoBack"/>
      <w:bookmarkEnd w:id="0"/>
      <w:r w:rsidR="00257973" w:rsidRPr="00276D69">
        <w:rPr>
          <w:rFonts w:ascii="Calibri" w:hAnsi="Calibri" w:cs="Arial"/>
          <w:sz w:val="22"/>
          <w:szCs w:val="22"/>
        </w:rPr>
        <w:t>2016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proofErr w:type="spellStart"/>
      <w:r w:rsidR="00B777DC">
        <w:rPr>
          <w:rFonts w:ascii="Calibri" w:hAnsi="Calibri" w:cs="Arial"/>
          <w:sz w:val="22"/>
          <w:szCs w:val="22"/>
        </w:rPr>
        <w:t>t.j</w:t>
      </w:r>
      <w:proofErr w:type="spellEnd"/>
      <w:r w:rsidR="00B777DC">
        <w:rPr>
          <w:rFonts w:ascii="Calibri" w:hAnsi="Calibri" w:cs="Arial"/>
          <w:sz w:val="22"/>
          <w:szCs w:val="22"/>
        </w:rPr>
        <w:t xml:space="preserve">. 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5F6EDF" w:rsidRPr="00276D69">
        <w:rPr>
          <w:rFonts w:ascii="Calibri" w:hAnsi="Calibri" w:cs="Arial"/>
          <w:sz w:val="22"/>
          <w:szCs w:val="22"/>
        </w:rPr>
        <w:t>5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F6EDF" w:rsidRPr="00276D69">
        <w:rPr>
          <w:rFonts w:ascii="Calibri" w:hAnsi="Calibri" w:cs="Arial"/>
          <w:sz w:val="22"/>
          <w:szCs w:val="22"/>
        </w:rPr>
        <w:t xml:space="preserve">2164)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oraz nr 8/2016,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1646BB">
        <w:rPr>
          <w:rFonts w:ascii="Calibri" w:hAnsi="Calibri" w:cs="Arial"/>
          <w:sz w:val="22"/>
          <w:szCs w:val="22"/>
        </w:rPr>
        <w:t>7</w:t>
      </w:r>
      <w:r w:rsidR="00154D0D" w:rsidRPr="00276D69">
        <w:rPr>
          <w:rFonts w:ascii="Calibri" w:hAnsi="Calibri" w:cs="Arial"/>
          <w:sz w:val="22"/>
          <w:szCs w:val="22"/>
        </w:rPr>
        <w:t xml:space="preserve"> 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1646BB">
        <w:rPr>
          <w:rFonts w:ascii="Calibri" w:hAnsi="Calibri" w:cs="Arial"/>
          <w:sz w:val="22"/>
          <w:szCs w:val="22"/>
        </w:rPr>
        <w:t xml:space="preserve"> jednak nie później niż do dnia 15 grudnia 2016 r</w:t>
      </w:r>
      <w:r w:rsidR="002251B1" w:rsidRPr="00276D69">
        <w:rPr>
          <w:rFonts w:ascii="Calibri" w:hAnsi="Calibri" w:cs="Arial"/>
          <w:sz w:val="22"/>
          <w:szCs w:val="22"/>
        </w:rPr>
        <w:t xml:space="preserve">. 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lastRenderedPageBreak/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Rakowiecka 2A, 02-517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>zgodnie z § 1 ust. 2 i 3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Wynagrodzenie i warunki płatności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Wykonawcy z tytułu realizacji um</w:t>
      </w:r>
      <w:r w:rsidR="00360AEB" w:rsidRPr="00276D69">
        <w:rPr>
          <w:rFonts w:ascii="Calibri" w:hAnsi="Calibri" w:cs="Arial"/>
          <w:sz w:val="22"/>
          <w:szCs w:val="22"/>
        </w:rPr>
        <w:t>owy strony ustalają w wysokości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0D5BD3">
        <w:rPr>
          <w:rFonts w:ascii="Calibri" w:hAnsi="Calibri" w:cs="Arial"/>
          <w:sz w:val="22"/>
          <w:szCs w:val="22"/>
        </w:rPr>
        <w:t>……..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zł </w:t>
      </w:r>
      <w:r w:rsidR="00360AEB" w:rsidRPr="00276D69">
        <w:rPr>
          <w:rFonts w:ascii="Calibri" w:hAnsi="Calibri" w:cs="Arial"/>
          <w:sz w:val="22"/>
          <w:szCs w:val="22"/>
        </w:rPr>
        <w:t xml:space="preserve">brutto  </w:t>
      </w:r>
      <w:r w:rsidRPr="00276D69">
        <w:rPr>
          <w:rFonts w:ascii="Calibri" w:hAnsi="Calibri" w:cs="Arial"/>
          <w:sz w:val="22"/>
          <w:szCs w:val="22"/>
        </w:rPr>
        <w:t>(słownie</w:t>
      </w:r>
      <w:r w:rsidR="0032139D" w:rsidRPr="00276D69">
        <w:rPr>
          <w:rFonts w:ascii="Calibri" w:hAnsi="Calibri" w:cs="Arial"/>
          <w:sz w:val="22"/>
          <w:szCs w:val="22"/>
        </w:rPr>
        <w:t xml:space="preserve">: </w:t>
      </w:r>
      <w:r w:rsidR="000D5BD3">
        <w:rPr>
          <w:rFonts w:ascii="Calibri" w:hAnsi="Calibri" w:cs="Arial"/>
          <w:sz w:val="22"/>
          <w:szCs w:val="22"/>
        </w:rPr>
        <w:t>……….</w:t>
      </w:r>
      <w:r w:rsidR="0032139D" w:rsidRPr="00276D69">
        <w:rPr>
          <w:rFonts w:ascii="Calibri" w:hAnsi="Calibri" w:cs="Arial"/>
          <w:sz w:val="22"/>
          <w:szCs w:val="22"/>
        </w:rPr>
        <w:t>)</w:t>
      </w:r>
      <w:r w:rsidRPr="00276D69">
        <w:rPr>
          <w:rFonts w:ascii="Calibri" w:hAnsi="Calibri" w:cs="Arial"/>
          <w:sz w:val="22"/>
          <w:szCs w:val="22"/>
        </w:rPr>
        <w:t xml:space="preserve">. 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76D69">
        <w:rPr>
          <w:rFonts w:ascii="Calibri" w:hAnsi="Calibri" w:cs="Arial"/>
          <w:sz w:val="22"/>
          <w:szCs w:val="22"/>
        </w:rPr>
        <w:t xml:space="preserve">i wniesienia </w:t>
      </w:r>
      <w:r w:rsidRPr="00276D69">
        <w:rPr>
          <w:rFonts w:ascii="Calibri" w:hAnsi="Calibr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 płat</w:t>
      </w:r>
      <w:r w:rsidR="0032139D" w:rsidRPr="00276D69">
        <w:rPr>
          <w:rFonts w:ascii="Calibri" w:hAnsi="Calibri" w:cs="Arial"/>
          <w:sz w:val="22"/>
          <w:szCs w:val="22"/>
        </w:rPr>
        <w:t xml:space="preserve">ne będzie na rachunek Wykonawcy </w:t>
      </w:r>
      <w:r w:rsidRPr="00276D69">
        <w:rPr>
          <w:rFonts w:ascii="Calibri" w:hAnsi="Calibr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Podstawę do wystawienia faktury VAT stanowi podpisany protokó</w:t>
      </w:r>
      <w:r w:rsidR="004D171D" w:rsidRPr="00276D69">
        <w:rPr>
          <w:rFonts w:ascii="Calibri" w:hAnsi="Calibri" w:cs="Arial"/>
          <w:sz w:val="22"/>
          <w:szCs w:val="22"/>
        </w:rPr>
        <w:t>ł  odbioru przedmiotu, stanowiący Załącznik nr 2 do Umowy</w:t>
      </w:r>
      <w:r w:rsidRPr="00276D69">
        <w:rPr>
          <w:rFonts w:ascii="Calibri" w:hAnsi="Calibri" w:cs="Arial"/>
          <w:sz w:val="22"/>
          <w:szCs w:val="22"/>
        </w:rPr>
        <w:t xml:space="preserve"> przez obie </w:t>
      </w:r>
      <w:r w:rsidR="004D171D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 nie zawierający zastrzeżeń, wystawiony w dni</w:t>
      </w:r>
      <w:r w:rsidR="004E3624" w:rsidRPr="00276D69">
        <w:rPr>
          <w:rFonts w:ascii="Calibri" w:hAnsi="Calibri" w:cs="Arial"/>
          <w:sz w:val="22"/>
          <w:szCs w:val="22"/>
        </w:rPr>
        <w:t>u dostawy zgodnie z § 1 ust. 3 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Fakturę VAT wystawioną Zamawiającemu należy przekazać do Centrum Obsługi Projektów Europejskich Ministerstwa Spraw Wewnętrznych</w:t>
      </w:r>
      <w:r w:rsidR="00024A07">
        <w:rPr>
          <w:rFonts w:ascii="Calibri" w:hAnsi="Calibri" w:cs="Arial"/>
          <w:sz w:val="22"/>
          <w:szCs w:val="22"/>
        </w:rPr>
        <w:t xml:space="preserve"> i Administracji</w:t>
      </w:r>
      <w:r w:rsidRPr="00276D69">
        <w:rPr>
          <w:rFonts w:ascii="Calibri" w:hAnsi="Calibri" w:cs="Arial"/>
          <w:sz w:val="22"/>
          <w:szCs w:val="22"/>
        </w:rPr>
        <w:t>, na następujący adres: ul.</w:t>
      </w:r>
      <w:r w:rsidR="001646BB">
        <w:rPr>
          <w:rFonts w:ascii="Calibri" w:hAnsi="Calibri" w:cs="Arial"/>
          <w:sz w:val="22"/>
          <w:szCs w:val="22"/>
        </w:rPr>
        <w:t xml:space="preserve"> Rakowiecka 2A, 02-517 Warszawa nie później niż do dnia 20 grudnia 2016 r.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 dzień dokonania płatności przyjmuje się dzień obciążenia rachunku bankowego Zamawiającego, z którego wypłacane są środki.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Strony oświadczają, że są podatnikami VAT oraz posiadają numery identyfikacji podatkowej NIP.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276D69" w:rsidRDefault="00D17E98" w:rsidP="00D17E98">
      <w:pPr>
        <w:ind w:right="334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 5</w:t>
      </w: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Wady i usterki </w:t>
      </w:r>
    </w:p>
    <w:p w:rsidR="00E05BF0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76D69">
        <w:rPr>
          <w:rFonts w:ascii="Calibri" w:hAnsi="Calibri" w:cs="Arial"/>
          <w:sz w:val="22"/>
          <w:szCs w:val="22"/>
        </w:rPr>
        <w:t xml:space="preserve">§ 4 ust. </w:t>
      </w:r>
      <w:r w:rsidR="004D171D" w:rsidRPr="00276D69">
        <w:rPr>
          <w:rFonts w:ascii="Calibri" w:hAnsi="Calibri" w:cs="Arial"/>
          <w:sz w:val="22"/>
          <w:szCs w:val="22"/>
        </w:rPr>
        <w:t>3</w:t>
      </w:r>
      <w:r w:rsidR="004E3624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76D69">
        <w:rPr>
          <w:rFonts w:ascii="Calibri" w:hAnsi="Calibri" w:cs="Arial"/>
          <w:sz w:val="22"/>
          <w:szCs w:val="22"/>
        </w:rPr>
        <w:t>. 2</w:t>
      </w:r>
      <w:r w:rsidRPr="00276D69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lastRenderedPageBreak/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co najmniej jednej z okoliczności wymienionych poniżej, z uwzględnieniem  podawanych </w:t>
      </w:r>
      <w:r w:rsidRPr="00276D69">
        <w:rPr>
          <w:rFonts w:ascii="Calibri" w:hAnsi="Calibri" w:cs="Arial"/>
          <w:sz w:val="22"/>
          <w:szCs w:val="22"/>
        </w:rPr>
        <w:lastRenderedPageBreak/>
        <w:t>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022CD" w:rsidRPr="00276D69" w:rsidRDefault="00C022CD" w:rsidP="00B777DC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3E4E16" w:rsidRPr="00276D69" w:rsidRDefault="003E4E16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dane teleadresowe,</w:t>
      </w:r>
    </w:p>
    <w:p w:rsidR="00B32B2F" w:rsidRPr="00276D69" w:rsidRDefault="00B32B2F" w:rsidP="00B777DC">
      <w:pPr>
        <w:pStyle w:val="Akapitzlist"/>
        <w:tabs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 xml:space="preserve"> na podstawie pisemnego powiadomienia </w:t>
      </w:r>
      <w:r w:rsidR="003E4E16" w:rsidRPr="00276D69">
        <w:rPr>
          <w:rFonts w:cs="Verdana"/>
        </w:rPr>
        <w:t xml:space="preserve">drugiej Strony </w:t>
      </w:r>
      <w:r w:rsidRPr="00276D69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</w:t>
      </w:r>
      <w:r w:rsidRPr="00276D69">
        <w:rPr>
          <w:rFonts w:ascii="Calibri" w:hAnsi="Calibri" w:cs="Arial"/>
          <w:sz w:val="22"/>
          <w:szCs w:val="22"/>
        </w:rPr>
        <w:lastRenderedPageBreak/>
        <w:t xml:space="preserve">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Rakowiecka 2A, 02-517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3F7E86" w:rsidRDefault="00257973" w:rsidP="00AD3FC8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 xml:space="preserve">Zamówienie jest </w:t>
    </w:r>
    <w:r w:rsidR="00B2753E" w:rsidRPr="003F7E86">
      <w:rPr>
        <w:rFonts w:ascii="Calibri" w:hAnsi="Calibri" w:cs="Calibri"/>
        <w:sz w:val="16"/>
        <w:szCs w:val="16"/>
      </w:rPr>
      <w:t>finansowane</w:t>
    </w:r>
    <w:r w:rsidRPr="003F7E86"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 w:rsidRPr="003F7E86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3F7E86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3717925</wp:posOffset>
          </wp:positionH>
          <wp:positionV relativeFrom="paragraph">
            <wp:posOffset>10160</wp:posOffset>
          </wp:positionV>
          <wp:extent cx="1948180" cy="361950"/>
          <wp:effectExtent l="38100" t="57150" r="0" b="5715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B97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5080</wp:posOffset>
          </wp:positionH>
          <wp:positionV relativeFrom="paragraph">
            <wp:posOffset>10160</wp:posOffset>
          </wp:positionV>
          <wp:extent cx="1695686" cy="361950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853" cy="36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0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3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39"/>
  </w:num>
  <w:num w:numId="11">
    <w:abstractNumId w:val="24"/>
  </w:num>
  <w:num w:numId="12">
    <w:abstractNumId w:val="15"/>
  </w:num>
  <w:num w:numId="13">
    <w:abstractNumId w:val="0"/>
  </w:num>
  <w:num w:numId="14">
    <w:abstractNumId w:val="43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2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38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6D69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B032E"/>
    <w:rsid w:val="003B639D"/>
    <w:rsid w:val="003C23C2"/>
    <w:rsid w:val="003D612C"/>
    <w:rsid w:val="003E4E16"/>
    <w:rsid w:val="003E4E80"/>
    <w:rsid w:val="003F34A7"/>
    <w:rsid w:val="003F7E86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64C85"/>
    <w:rsid w:val="00B71268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5484-17B3-41AD-9AD3-8F947A4F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12518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2016-11-21T11:37:00Z</cp:lastPrinted>
  <dcterms:created xsi:type="dcterms:W3CDTF">2016-11-24T15:38:00Z</dcterms:created>
  <dcterms:modified xsi:type="dcterms:W3CDTF">2016-11-24T15:38:00Z</dcterms:modified>
</cp:coreProperties>
</file>